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4E" w:rsidRPr="00C70B4E" w:rsidRDefault="00C70B4E" w:rsidP="00D820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C70B4E">
        <w:rPr>
          <w:rFonts w:ascii="Times New Roman" w:hAnsi="Times New Roman" w:cs="Times New Roman"/>
          <w:b/>
          <w:bCs/>
          <w:sz w:val="24"/>
          <w:szCs w:val="24"/>
        </w:rPr>
        <w:t>ЕРОПРИЯТИЯ, НАПРАВЛЕННЫЕ НА ВЫЯВЛЕНИЕ И ПРЕСЕЧЕНИЕ НЕЛЕГАЛЬНОЙ ДЕЯТЕЛЬНОСТИ СУБЪЕКТОВ НА ФИНАНСОВОМ РЫНКЕ, НЕСУЩИХ ПОВЫШЕННЫЕ ПОТЕНЦИАЛЬНЫЕ РИСКИ МОШЕННИЧЕСТВА В ОТНОШЕНИИ ГРАЖДАН</w:t>
      </w:r>
    </w:p>
    <w:p w:rsidR="000955C4" w:rsidRPr="00261790" w:rsidRDefault="000955C4" w:rsidP="00261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790">
        <w:rPr>
          <w:rFonts w:ascii="Times New Roman" w:hAnsi="Times New Roman" w:cs="Times New Roman"/>
          <w:b/>
          <w:bCs/>
          <w:iCs/>
          <w:sz w:val="24"/>
          <w:szCs w:val="24"/>
        </w:rPr>
        <w:t>Уважаемые жители города!</w:t>
      </w:r>
    </w:p>
    <w:p w:rsidR="000955C4" w:rsidRDefault="000955C4" w:rsidP="00EF1B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790">
        <w:rPr>
          <w:rFonts w:ascii="Times New Roman" w:hAnsi="Times New Roman" w:cs="Times New Roman"/>
          <w:sz w:val="24"/>
          <w:szCs w:val="24"/>
        </w:rPr>
        <w:t xml:space="preserve">В целях выявления </w:t>
      </w:r>
      <w:r w:rsidR="00AE35EF">
        <w:rPr>
          <w:rFonts w:ascii="Times New Roman" w:hAnsi="Times New Roman" w:cs="Times New Roman"/>
          <w:sz w:val="24"/>
          <w:szCs w:val="24"/>
        </w:rPr>
        <w:t xml:space="preserve">и пресечения </w:t>
      </w:r>
      <w:r w:rsidRPr="00261790">
        <w:rPr>
          <w:rFonts w:ascii="Times New Roman" w:hAnsi="Times New Roman" w:cs="Times New Roman"/>
          <w:sz w:val="24"/>
          <w:szCs w:val="24"/>
        </w:rPr>
        <w:t>нелегальной деятельности субъектов на финансовом рынке, несущих повышенные потенциальные риски мошенничества в отношении граждан,</w:t>
      </w:r>
      <w:r w:rsidR="00CB57C8" w:rsidRPr="00261790">
        <w:rPr>
          <w:rFonts w:ascii="Times New Roman" w:hAnsi="Times New Roman" w:cs="Times New Roman"/>
          <w:sz w:val="24"/>
          <w:szCs w:val="24"/>
        </w:rPr>
        <w:t xml:space="preserve"> </w:t>
      </w:r>
      <w:r w:rsidRPr="00261790">
        <w:rPr>
          <w:rFonts w:ascii="Times New Roman" w:hAnsi="Times New Roman" w:cs="Times New Roman"/>
          <w:sz w:val="24"/>
          <w:szCs w:val="24"/>
        </w:rPr>
        <w:t>просим Вас при выявлении рекламных материалов и фактов осуществления деятельности субъектами, имеющими признаки нелегальной финансовой деятельности направлять информацию</w:t>
      </w:r>
      <w:r w:rsidR="00340740" w:rsidRPr="00261790">
        <w:rPr>
          <w:rFonts w:ascii="Times New Roman" w:hAnsi="Times New Roman" w:cs="Times New Roman"/>
          <w:sz w:val="24"/>
          <w:szCs w:val="24"/>
        </w:rPr>
        <w:t xml:space="preserve"> </w:t>
      </w:r>
      <w:r w:rsidRPr="00261790">
        <w:rPr>
          <w:rFonts w:ascii="Times New Roman" w:hAnsi="Times New Roman" w:cs="Times New Roman"/>
          <w:sz w:val="24"/>
          <w:szCs w:val="24"/>
        </w:rPr>
        <w:t>(характер деятельности, наименование, ИНН, адрес расположения офиса, размещения рекламы, копии (сканы, фото) договоров на оказание финансовых услуг, листки рекламы, брошюры, фото баннеров и</w:t>
      </w:r>
      <w:proofErr w:type="gramEnd"/>
      <w:r w:rsidRPr="00261790">
        <w:rPr>
          <w:rFonts w:ascii="Times New Roman" w:hAnsi="Times New Roman" w:cs="Times New Roman"/>
          <w:sz w:val="24"/>
          <w:szCs w:val="24"/>
        </w:rPr>
        <w:t xml:space="preserve"> стендов объявлений в управление экономики администрации города Покачи </w:t>
      </w:r>
      <w:proofErr w:type="gramStart"/>
      <w:r w:rsidRPr="0026179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617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1790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261790">
        <w:rPr>
          <w:rFonts w:ascii="Times New Roman" w:hAnsi="Times New Roman" w:cs="Times New Roman"/>
          <w:sz w:val="24"/>
          <w:szCs w:val="24"/>
        </w:rPr>
        <w:t>:</w:t>
      </w:r>
      <w:r w:rsidR="00C035A1">
        <w:rPr>
          <w:rFonts w:ascii="Times New Roman" w:hAnsi="Times New Roman" w:cs="Times New Roman"/>
          <w:sz w:val="24"/>
          <w:szCs w:val="24"/>
        </w:rPr>
        <w:t xml:space="preserve"> </w:t>
      </w:r>
      <w:r w:rsidRPr="00261790">
        <w:rPr>
          <w:rFonts w:ascii="Times New Roman" w:hAnsi="Times New Roman" w:cs="Times New Roman"/>
          <w:sz w:val="24"/>
          <w:szCs w:val="24"/>
        </w:rPr>
        <w:t xml:space="preserve">8 (34669) 79942, адрес электронной почты: </w:t>
      </w:r>
      <w:hyperlink r:id="rId5" w:history="1">
        <w:r w:rsidRPr="00261790">
          <w:rPr>
            <w:rStyle w:val="a3"/>
            <w:rFonts w:ascii="Times New Roman" w:hAnsi="Times New Roman" w:cs="Times New Roman"/>
            <w:sz w:val="24"/>
            <w:szCs w:val="24"/>
          </w:rPr>
          <w:t>econom-stat@admpokachi.ru</w:t>
        </w:r>
      </w:hyperlink>
      <w:r w:rsidRPr="00261790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W w:w="971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6F7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3118"/>
        <w:gridCol w:w="4961"/>
      </w:tblGrid>
      <w:tr w:rsidR="003736C3" w:rsidRPr="00634C9C" w:rsidTr="003736C3"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634C9C" w:rsidRPr="00634C9C" w:rsidRDefault="00634C9C" w:rsidP="00634C9C">
            <w:pPr>
              <w:spacing w:after="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Критерий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634C9C" w:rsidRPr="00634C9C" w:rsidRDefault="00634C9C" w:rsidP="00634C9C">
            <w:pPr>
              <w:spacing w:after="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Значение (содержание)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634C9C" w:rsidRPr="00634C9C" w:rsidRDefault="00634C9C" w:rsidP="00634C9C">
            <w:pPr>
              <w:spacing w:after="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Наиболее часто встречающиеся примеры</w:t>
            </w:r>
          </w:p>
        </w:tc>
      </w:tr>
      <w:tr w:rsidR="003736C3" w:rsidRPr="00634C9C" w:rsidTr="003736C3">
        <w:tc>
          <w:tcPr>
            <w:tcW w:w="16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634C9C" w:rsidRPr="00634C9C" w:rsidRDefault="00FC080D" w:rsidP="00634C9C">
            <w:pPr>
              <w:spacing w:after="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     </w:t>
            </w:r>
            <w:r w:rsidR="00634C9C"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1.Виды услуг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634C9C" w:rsidRPr="00634C9C" w:rsidRDefault="00634C9C" w:rsidP="00FC080D">
            <w:pPr>
              <w:spacing w:after="0" w:line="240" w:lineRule="auto"/>
              <w:ind w:left="-142" w:firstLine="2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Выдача займов (кредитов) населению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634C9C" w:rsidRPr="00634C9C" w:rsidRDefault="00C035A1" w:rsidP="00634C9C">
            <w:pPr>
              <w:spacing w:after="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       </w:t>
            </w:r>
            <w:r w:rsidR="00634C9C"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Выдача ИП и организациями</w:t>
            </w:r>
            <w:r w:rsidR="00634C9C" w:rsidRPr="003736C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634C9C"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(</w:t>
            </w:r>
            <w:proofErr w:type="spellStart"/>
            <w:r w:rsidR="00634C9C"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микрофинансовыми</w:t>
            </w:r>
            <w:proofErr w:type="spellEnd"/>
            <w:r w:rsidR="00634C9C"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634C9C"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микрокредитными</w:t>
            </w:r>
            <w:proofErr w:type="spellEnd"/>
            <w:r w:rsidR="00634C9C"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компаниями, ломбардами), не включенными в реестр Банка России</w:t>
            </w:r>
          </w:p>
        </w:tc>
      </w:tr>
      <w:tr w:rsidR="003736C3" w:rsidRPr="00634C9C" w:rsidTr="003736C3">
        <w:tc>
          <w:tcPr>
            <w:tcW w:w="16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4C9C" w:rsidRPr="00634C9C" w:rsidRDefault="00634C9C" w:rsidP="00634C9C">
            <w:pPr>
              <w:spacing w:after="0" w:line="240" w:lineRule="auto"/>
              <w:ind w:left="-142" w:hanging="284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634C9C" w:rsidRPr="00634C9C" w:rsidRDefault="00FC080D" w:rsidP="00634C9C">
            <w:pPr>
              <w:spacing w:after="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        </w:t>
            </w:r>
            <w:r w:rsidR="00634C9C"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Привлечение займов у населения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634C9C" w:rsidRPr="00634C9C" w:rsidRDefault="00634C9C" w:rsidP="00634C9C">
            <w:pPr>
              <w:spacing w:after="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Потребительские и кредитные потребительские   кооперативы, не </w:t>
            </w:r>
            <w:proofErr w:type="gramStart"/>
            <w:r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включенными</w:t>
            </w:r>
            <w:proofErr w:type="gramEnd"/>
            <w:r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в реестр Банка России</w:t>
            </w:r>
          </w:p>
        </w:tc>
      </w:tr>
      <w:tr w:rsidR="003736C3" w:rsidRPr="00634C9C" w:rsidTr="003736C3">
        <w:tc>
          <w:tcPr>
            <w:tcW w:w="16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4C9C" w:rsidRPr="00634C9C" w:rsidRDefault="00634C9C" w:rsidP="00634C9C">
            <w:pPr>
              <w:spacing w:after="0" w:line="240" w:lineRule="auto"/>
              <w:ind w:left="-142" w:hanging="284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634C9C" w:rsidRPr="00634C9C" w:rsidRDefault="00634C9C" w:rsidP="00634C9C">
            <w:pPr>
              <w:spacing w:after="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Страхование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634C9C" w:rsidRPr="00634C9C" w:rsidRDefault="00634C9C" w:rsidP="00634C9C">
            <w:pPr>
              <w:spacing w:after="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ОСАГО по тарифу ниже базового</w:t>
            </w:r>
          </w:p>
        </w:tc>
      </w:tr>
      <w:tr w:rsidR="003736C3" w:rsidRPr="00634C9C" w:rsidTr="003736C3">
        <w:tc>
          <w:tcPr>
            <w:tcW w:w="16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4C9C" w:rsidRPr="00634C9C" w:rsidRDefault="00634C9C" w:rsidP="00634C9C">
            <w:pPr>
              <w:spacing w:after="0" w:line="240" w:lineRule="auto"/>
              <w:ind w:left="-142" w:hanging="284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634C9C" w:rsidRPr="00634C9C" w:rsidRDefault="00FC080D" w:rsidP="00634C9C">
            <w:pPr>
              <w:spacing w:after="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          </w:t>
            </w:r>
            <w:r w:rsidR="00634C9C"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Операции с ценными бумагами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634C9C" w:rsidRPr="00634C9C" w:rsidRDefault="00454993" w:rsidP="00634C9C">
            <w:pPr>
              <w:spacing w:after="18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          </w:t>
            </w:r>
            <w:r w:rsidR="00634C9C"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</w:t>
            </w:r>
            <w:r w:rsidR="00634C9C"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рейдбоксы</w:t>
            </w:r>
            <w:proofErr w:type="spellEnd"/>
            <w:r w:rsidR="00634C9C"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торговле опционами/векселями</w:t>
            </w:r>
          </w:p>
          <w:p w:rsidR="00634C9C" w:rsidRPr="00634C9C" w:rsidRDefault="00634C9C" w:rsidP="00454993">
            <w:pPr>
              <w:spacing w:after="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- </w:t>
            </w:r>
            <w:r w:rsidR="0045499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бучение работе на рынке ценных бумаг</w:t>
            </w:r>
          </w:p>
        </w:tc>
      </w:tr>
      <w:tr w:rsidR="003736C3" w:rsidRPr="00634C9C" w:rsidTr="003736C3">
        <w:tc>
          <w:tcPr>
            <w:tcW w:w="16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4C9C" w:rsidRPr="00634C9C" w:rsidRDefault="00634C9C" w:rsidP="00634C9C">
            <w:pPr>
              <w:spacing w:after="0" w:line="240" w:lineRule="auto"/>
              <w:ind w:left="-142" w:hanging="284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634C9C" w:rsidRPr="00634C9C" w:rsidRDefault="00634C9C" w:rsidP="00634C9C">
            <w:pPr>
              <w:spacing w:after="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Услуги на рынке </w:t>
            </w:r>
            <w:proofErr w:type="spellStart"/>
            <w:r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Форекс</w:t>
            </w:r>
            <w:proofErr w:type="spellEnd"/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634C9C" w:rsidRPr="00634C9C" w:rsidRDefault="00454993" w:rsidP="00634C9C">
            <w:pPr>
              <w:spacing w:after="18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       -   о</w:t>
            </w:r>
            <w:r w:rsidR="00634C9C"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бразовательные центры, взимающие плату за обучение торговле на рынке </w:t>
            </w:r>
            <w:proofErr w:type="spellStart"/>
            <w:r w:rsidR="00634C9C"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Форекс</w:t>
            </w:r>
            <w:proofErr w:type="spellEnd"/>
          </w:p>
          <w:p w:rsidR="00634C9C" w:rsidRPr="00634C9C" w:rsidRDefault="00634C9C" w:rsidP="00454993">
            <w:pPr>
              <w:spacing w:after="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  <w:r w:rsidR="0045499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     - р</w:t>
            </w:r>
            <w:r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аботодатели, предлагающие работу на рынке </w:t>
            </w:r>
            <w:proofErr w:type="spellStart"/>
            <w:r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Форекс</w:t>
            </w:r>
            <w:proofErr w:type="spellEnd"/>
          </w:p>
        </w:tc>
      </w:tr>
      <w:tr w:rsidR="003736C3" w:rsidRPr="00634C9C" w:rsidTr="00454993">
        <w:trPr>
          <w:trHeight w:val="545"/>
        </w:trPr>
        <w:tc>
          <w:tcPr>
            <w:tcW w:w="16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4C9C" w:rsidRPr="00634C9C" w:rsidRDefault="00634C9C" w:rsidP="00634C9C">
            <w:pPr>
              <w:spacing w:after="0" w:line="240" w:lineRule="auto"/>
              <w:ind w:left="-142" w:hanging="284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634C9C" w:rsidRPr="00634C9C" w:rsidRDefault="00634C9C" w:rsidP="00634C9C">
            <w:pPr>
              <w:spacing w:after="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Банковские услуги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634C9C" w:rsidRPr="00634C9C" w:rsidRDefault="00454993" w:rsidP="00634C9C">
            <w:pPr>
              <w:spacing w:after="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      </w:t>
            </w:r>
            <w:r w:rsidR="00634C9C"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Реклама, содержащая предложения о размещении вкладов, выпуске платежных карт</w:t>
            </w:r>
          </w:p>
        </w:tc>
      </w:tr>
      <w:tr w:rsidR="003736C3" w:rsidRPr="00634C9C" w:rsidTr="003736C3">
        <w:tc>
          <w:tcPr>
            <w:tcW w:w="16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4C9C" w:rsidRPr="00634C9C" w:rsidRDefault="00634C9C" w:rsidP="00634C9C">
            <w:pPr>
              <w:spacing w:after="0" w:line="240" w:lineRule="auto"/>
              <w:ind w:left="-142" w:hanging="284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634C9C" w:rsidRPr="00634C9C" w:rsidRDefault="00634C9C" w:rsidP="00634C9C">
            <w:pPr>
              <w:spacing w:after="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Финансовые пирамиды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634C9C" w:rsidRPr="00634C9C" w:rsidRDefault="00454993" w:rsidP="00634C9C">
            <w:pPr>
              <w:spacing w:after="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      </w:t>
            </w:r>
            <w:r w:rsidR="00634C9C"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Привлечение средств населения по сетевому принципу (MLM бизнес), не предполагающие поставку товара</w:t>
            </w:r>
          </w:p>
        </w:tc>
      </w:tr>
      <w:tr w:rsidR="003736C3" w:rsidRPr="00634C9C" w:rsidTr="00FC080D">
        <w:trPr>
          <w:trHeight w:val="1094"/>
        </w:trPr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634C9C" w:rsidRPr="00634C9C" w:rsidRDefault="00FC080D" w:rsidP="00634C9C">
            <w:pPr>
              <w:spacing w:after="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       </w:t>
            </w:r>
            <w:r w:rsidR="00634C9C"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2. Отсутствие лицензии Банка России</w:t>
            </w:r>
          </w:p>
        </w:tc>
        <w:tc>
          <w:tcPr>
            <w:tcW w:w="80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FC080D" w:rsidRDefault="00FC080D" w:rsidP="00634C9C">
            <w:pPr>
              <w:spacing w:after="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               О</w:t>
            </w:r>
            <w:r w:rsidR="00634C9C"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рганизация, оказывающая услуга, приведенные в п.1, не имеет (не имела)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              </w:t>
            </w:r>
            <w:r w:rsidR="00634C9C"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момент </w:t>
            </w:r>
            <w:proofErr w:type="gramStart"/>
            <w:r w:rsidR="00634C9C"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оказания услуги лицензии Банка России</w:t>
            </w:r>
            <w:proofErr w:type="gramEnd"/>
            <w:r w:rsidR="00634C9C"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 или не была включена в реестр</w:t>
            </w:r>
          </w:p>
          <w:p w:rsidR="00634C9C" w:rsidRPr="00634C9C" w:rsidRDefault="00634C9C" w:rsidP="00634C9C">
            <w:pPr>
              <w:spacing w:after="0" w:line="240" w:lineRule="auto"/>
              <w:ind w:left="-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34C9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Банка России</w:t>
            </w:r>
          </w:p>
        </w:tc>
      </w:tr>
    </w:tbl>
    <w:p w:rsidR="00634C9C" w:rsidRPr="00261790" w:rsidRDefault="00634C9C" w:rsidP="008D7009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634C9C" w:rsidRPr="0026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1E"/>
    <w:rsid w:val="000575F7"/>
    <w:rsid w:val="000955C4"/>
    <w:rsid w:val="00236835"/>
    <w:rsid w:val="00261790"/>
    <w:rsid w:val="002E0E23"/>
    <w:rsid w:val="002F529F"/>
    <w:rsid w:val="00340740"/>
    <w:rsid w:val="003736C3"/>
    <w:rsid w:val="0039741E"/>
    <w:rsid w:val="00454993"/>
    <w:rsid w:val="00503B32"/>
    <w:rsid w:val="005C6E44"/>
    <w:rsid w:val="00634C9C"/>
    <w:rsid w:val="00667776"/>
    <w:rsid w:val="006B5398"/>
    <w:rsid w:val="00845AA5"/>
    <w:rsid w:val="008D7009"/>
    <w:rsid w:val="008F5AD5"/>
    <w:rsid w:val="00AB31DC"/>
    <w:rsid w:val="00AE35EF"/>
    <w:rsid w:val="00BA4BD2"/>
    <w:rsid w:val="00C035A1"/>
    <w:rsid w:val="00C70B4E"/>
    <w:rsid w:val="00CB57C8"/>
    <w:rsid w:val="00D82048"/>
    <w:rsid w:val="00E7690F"/>
    <w:rsid w:val="00EC132C"/>
    <w:rsid w:val="00EF1BF5"/>
    <w:rsid w:val="00EF610E"/>
    <w:rsid w:val="00F50BCA"/>
    <w:rsid w:val="00FC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5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-stat@admpokac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Алышева Елена Васильевна</dc:creator>
  <cp:keywords/>
  <dc:description/>
  <cp:lastModifiedBy>Алышева Елена Васильевна</cp:lastModifiedBy>
  <cp:revision>24</cp:revision>
  <dcterms:created xsi:type="dcterms:W3CDTF">2024-02-20T13:55:00Z</dcterms:created>
  <dcterms:modified xsi:type="dcterms:W3CDTF">2024-02-20T14:13:00Z</dcterms:modified>
</cp:coreProperties>
</file>